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F071" w14:textId="138B9E80" w:rsidR="007E6977" w:rsidRPr="00687135" w:rsidRDefault="007E6977" w:rsidP="007E6977">
      <w:pPr>
        <w:pStyle w:val="MDPI31text"/>
      </w:pPr>
      <w:bookmarkStart w:id="0" w:name="_GoBack"/>
      <w:bookmarkEnd w:id="0"/>
      <w:r w:rsidRPr="00FF3E78">
        <w:t>The</w:t>
      </w:r>
      <w:r>
        <w:t xml:space="preserve"> text I propose to read a fragment from</w:t>
      </w:r>
      <w:r w:rsidR="00DF7ACB">
        <w:t>,</w:t>
      </w:r>
      <w:r>
        <w:t xml:space="preserve"> is the</w:t>
      </w:r>
      <w:r w:rsidRPr="00FF3E78">
        <w:t xml:space="preserve"> </w:t>
      </w:r>
      <w:proofErr w:type="spellStart"/>
      <w:r w:rsidRPr="00FF3E78">
        <w:rPr>
          <w:i/>
          <w:iCs/>
          <w:lang w:val="en-GB"/>
        </w:rPr>
        <w:t>Dharmaparīk</w:t>
      </w:r>
      <w:r w:rsidRPr="00FF3E78">
        <w:rPr>
          <w:rFonts w:ascii="Cambria" w:hAnsi="Cambria" w:cs="Cambria"/>
          <w:i/>
          <w:iCs/>
          <w:lang w:val="en-GB"/>
        </w:rPr>
        <w:t>ṣ</w:t>
      </w:r>
      <w:r w:rsidRPr="00FF3E78">
        <w:rPr>
          <w:rFonts w:cs="Palatino Linotype"/>
          <w:i/>
          <w:iCs/>
          <w:lang w:val="en-GB"/>
        </w:rPr>
        <w:t>ā</w:t>
      </w:r>
      <w:proofErr w:type="spellEnd"/>
      <w:r w:rsidRPr="00FF3E78">
        <w:rPr>
          <w:lang w:val="en-GB"/>
        </w:rPr>
        <w:t xml:space="preserve"> </w:t>
      </w:r>
      <w:r>
        <w:rPr>
          <w:lang w:val="en-GB"/>
        </w:rPr>
        <w:t>(</w:t>
      </w:r>
      <w:r w:rsidRPr="00FF3E78">
        <w:rPr>
          <w:lang w:val="en-GB"/>
        </w:rPr>
        <w:t>‘Examination of Religion’</w:t>
      </w:r>
      <w:r>
        <w:rPr>
          <w:lang w:val="en-GB"/>
        </w:rPr>
        <w:t>)</w:t>
      </w:r>
      <w:r w:rsidRPr="00FF3E78">
        <w:rPr>
          <w:lang w:val="en-GB"/>
        </w:rPr>
        <w:t xml:space="preserve"> </w:t>
      </w:r>
      <w:r>
        <w:rPr>
          <w:lang w:val="en-GB"/>
        </w:rPr>
        <w:t xml:space="preserve">by the </w:t>
      </w:r>
      <w:proofErr w:type="spellStart"/>
      <w:r>
        <w:rPr>
          <w:lang w:val="en-GB"/>
        </w:rPr>
        <w:t>Digambara</w:t>
      </w:r>
      <w:proofErr w:type="spellEnd"/>
      <w:r>
        <w:rPr>
          <w:lang w:val="en-GB"/>
        </w:rPr>
        <w:t xml:space="preserve"> Jain layman </w:t>
      </w:r>
      <w:proofErr w:type="spellStart"/>
      <w:r>
        <w:rPr>
          <w:lang w:val="en-GB"/>
        </w:rPr>
        <w:t>Manohard</w:t>
      </w:r>
      <w:proofErr w:type="spellEnd"/>
      <w:r w:rsidRPr="00687135">
        <w:t>ā</w:t>
      </w:r>
      <w:r w:rsidRPr="00FF3E78">
        <w:rPr>
          <w:lang w:val="en-GB"/>
        </w:rPr>
        <w:t>s</w:t>
      </w:r>
      <w:r>
        <w:rPr>
          <w:lang w:val="en-GB"/>
        </w:rPr>
        <w:t xml:space="preserve">. This is a Jain didactic </w:t>
      </w:r>
      <w:r w:rsidRPr="00FF3E78">
        <w:rPr>
          <w:lang w:val="en-GB"/>
        </w:rPr>
        <w:t>narrative that tries to examine and argue why the Jain tradition is ‘true’ (</w:t>
      </w:r>
      <w:proofErr w:type="spellStart"/>
      <w:r w:rsidRPr="00FF3E78">
        <w:rPr>
          <w:i/>
          <w:iCs/>
          <w:lang w:val="en-GB"/>
        </w:rPr>
        <w:t>samyañc</w:t>
      </w:r>
      <w:proofErr w:type="spellEnd"/>
      <w:r w:rsidRPr="00FF3E78">
        <w:rPr>
          <w:lang w:val="en-GB"/>
        </w:rPr>
        <w:t xml:space="preserve">) and why other traditions, </w:t>
      </w:r>
      <w:r>
        <w:rPr>
          <w:lang w:val="en-GB"/>
        </w:rPr>
        <w:t>more precisely</w:t>
      </w:r>
      <w:r w:rsidRPr="00FF3E78">
        <w:rPr>
          <w:lang w:val="en-GB"/>
        </w:rPr>
        <w:t xml:space="preserve"> the dominant Brahmanical tradition, are not. </w:t>
      </w:r>
      <w:r>
        <w:rPr>
          <w:lang w:val="en-GB"/>
        </w:rPr>
        <w:t xml:space="preserve">The </w:t>
      </w:r>
      <w:r w:rsidRPr="00687135">
        <w:rPr>
          <w:i/>
          <w:iCs/>
        </w:rPr>
        <w:t>Dharmaparīk</w:t>
      </w:r>
      <w:r w:rsidRPr="00687135">
        <w:rPr>
          <w:rFonts w:ascii="Cambria" w:hAnsi="Cambria" w:cs="Cambria"/>
          <w:i/>
          <w:iCs/>
        </w:rPr>
        <w:t>ṣā</w:t>
      </w:r>
      <w:r w:rsidRPr="00687135">
        <w:rPr>
          <w:rFonts w:ascii="Cambria" w:hAnsi="Cambria" w:cs="Cambria"/>
        </w:rPr>
        <w:t xml:space="preserve"> by Manohardās is not a unique narrative, but belongs to what I call a textual tradition of</w:t>
      </w:r>
      <w:r w:rsidRPr="00687135">
        <w:rPr>
          <w:rFonts w:cs="Cambria"/>
        </w:rPr>
        <w:t xml:space="preserve"> </w:t>
      </w:r>
      <w:r w:rsidRPr="00687135">
        <w:rPr>
          <w:rFonts w:cs="Cambria"/>
          <w:i/>
          <w:iCs/>
        </w:rPr>
        <w:t>Dharmaparīk</w:t>
      </w:r>
      <w:r w:rsidRPr="00687135">
        <w:rPr>
          <w:rFonts w:ascii="Cambria" w:hAnsi="Cambria" w:cs="Cambria"/>
          <w:i/>
          <w:iCs/>
        </w:rPr>
        <w:t>ṣ</w:t>
      </w:r>
      <w:r w:rsidRPr="00687135">
        <w:rPr>
          <w:rFonts w:cs="Cambria"/>
          <w:i/>
          <w:iCs/>
        </w:rPr>
        <w:t xml:space="preserve">ās, </w:t>
      </w:r>
      <w:r w:rsidR="00DF7ACB" w:rsidRPr="00687135">
        <w:rPr>
          <w:rFonts w:cs="Cambria"/>
        </w:rPr>
        <w:t xml:space="preserve">existing of </w:t>
      </w:r>
      <w:r w:rsidRPr="00687135">
        <w:rPr>
          <w:rFonts w:cs="Cambria"/>
        </w:rPr>
        <w:t xml:space="preserve">several versions of the same story written from </w:t>
      </w:r>
      <w:r w:rsidRPr="00FF3E78">
        <w:rPr>
          <w:lang w:val="en-GB"/>
        </w:rPr>
        <w:t xml:space="preserve">at least the tenth century </w:t>
      </w:r>
      <w:r w:rsidR="0094291E">
        <w:rPr>
          <w:lang w:val="en-GB"/>
        </w:rPr>
        <w:t>b</w:t>
      </w:r>
      <w:r w:rsidRPr="00FF3E78">
        <w:rPr>
          <w:lang w:val="en-GB"/>
        </w:rPr>
        <w:t xml:space="preserve">y </w:t>
      </w:r>
      <w:proofErr w:type="spellStart"/>
      <w:r w:rsidRPr="00FF3E78">
        <w:rPr>
          <w:lang w:val="en-GB"/>
        </w:rPr>
        <w:t>Digambara</w:t>
      </w:r>
      <w:proofErr w:type="spellEnd"/>
      <w:r w:rsidRPr="00FF3E78">
        <w:rPr>
          <w:lang w:val="en-GB"/>
        </w:rPr>
        <w:t xml:space="preserve"> Jain authors</w:t>
      </w:r>
      <w:r w:rsidR="0094291E">
        <w:rPr>
          <w:lang w:val="en-GB"/>
        </w:rPr>
        <w:t>,</w:t>
      </w:r>
      <w:r>
        <w:rPr>
          <w:lang w:val="en-GB"/>
        </w:rPr>
        <w:t xml:space="preserve"> and</w:t>
      </w:r>
      <w:r w:rsidRPr="00FF3E78">
        <w:rPr>
          <w:lang w:val="en-GB"/>
        </w:rPr>
        <w:t xml:space="preserve"> later by </w:t>
      </w:r>
      <w:proofErr w:type="spellStart"/>
      <w:r w:rsidRPr="00FF3E78">
        <w:rPr>
          <w:lang w:val="en-GB"/>
        </w:rPr>
        <w:t>Śvetāmbaras</w:t>
      </w:r>
      <w:proofErr w:type="spellEnd"/>
      <w:r w:rsidR="0094291E">
        <w:rPr>
          <w:lang w:val="en-GB"/>
        </w:rPr>
        <w:t xml:space="preserve">, until at least </w:t>
      </w:r>
      <w:r w:rsidR="00F00EE6">
        <w:rPr>
          <w:lang w:val="en-GB"/>
        </w:rPr>
        <w:t xml:space="preserve">the </w:t>
      </w:r>
      <w:r w:rsidR="0094291E">
        <w:rPr>
          <w:lang w:val="en-GB"/>
        </w:rPr>
        <w:t>eighteenth century</w:t>
      </w:r>
      <w:r w:rsidR="00DF7ACB">
        <w:rPr>
          <w:lang w:val="en-GB"/>
        </w:rPr>
        <w:t xml:space="preserve"> in different languages</w:t>
      </w:r>
      <w:r w:rsidR="0094291E">
        <w:rPr>
          <w:lang w:val="en-GB"/>
        </w:rPr>
        <w:t>.</w:t>
      </w:r>
    </w:p>
    <w:p w14:paraId="062E7CEC" w14:textId="1B6BB620" w:rsidR="007E6977" w:rsidRPr="00FF3E78" w:rsidRDefault="007E6977" w:rsidP="007E6977">
      <w:pPr>
        <w:pStyle w:val="MDPI31text"/>
        <w:rPr>
          <w:lang w:val="en-GB"/>
        </w:rPr>
      </w:pPr>
      <w:r>
        <w:rPr>
          <w:lang w:val="en-GB"/>
        </w:rPr>
        <w:t>The</w:t>
      </w:r>
      <w:r w:rsidRPr="00FF3E78">
        <w:rPr>
          <w:lang w:val="en-GB"/>
        </w:rPr>
        <w:t xml:space="preserve"> </w:t>
      </w:r>
      <w:r w:rsidR="00DF7ACB">
        <w:rPr>
          <w:lang w:val="en-GB"/>
        </w:rPr>
        <w:t>narrative</w:t>
      </w:r>
      <w:r w:rsidRPr="00FF3E78">
        <w:rPr>
          <w:lang w:val="en-GB"/>
        </w:rPr>
        <w:t xml:space="preserve"> makes its argument within a frame structure </w:t>
      </w:r>
      <w:r>
        <w:rPr>
          <w:lang w:val="en-GB"/>
        </w:rPr>
        <w:t>that is filled with</w:t>
      </w:r>
      <w:r w:rsidRPr="00FF3E78">
        <w:rPr>
          <w:lang w:val="en-GB"/>
        </w:rPr>
        <w:t xml:space="preserve"> </w:t>
      </w:r>
      <w:proofErr w:type="spellStart"/>
      <w:r w:rsidR="00DF7ACB">
        <w:rPr>
          <w:lang w:val="en-GB"/>
        </w:rPr>
        <w:t>sub</w:t>
      </w:r>
      <w:r w:rsidRPr="00FF3E78">
        <w:rPr>
          <w:lang w:val="en-GB"/>
        </w:rPr>
        <w:t>stories</w:t>
      </w:r>
      <w:proofErr w:type="spellEnd"/>
      <w:r w:rsidRPr="00FF3E78">
        <w:rPr>
          <w:lang w:val="en-GB"/>
        </w:rPr>
        <w:t xml:space="preserve"> that refer to and satirically criticize Hindu </w:t>
      </w:r>
      <w:proofErr w:type="spellStart"/>
      <w:r w:rsidRPr="00FF3E78">
        <w:rPr>
          <w:lang w:val="en-GB"/>
        </w:rPr>
        <w:t>Purā</w:t>
      </w:r>
      <w:r w:rsidRPr="00FF3E78">
        <w:rPr>
          <w:rFonts w:ascii="Cambria" w:hAnsi="Cambria" w:cs="Cambria"/>
          <w:lang w:val="en-GB"/>
        </w:rPr>
        <w:t>ṇ</w:t>
      </w:r>
      <w:r w:rsidRPr="00FF3E78">
        <w:rPr>
          <w:lang w:val="en-GB"/>
        </w:rPr>
        <w:t>ic</w:t>
      </w:r>
      <w:proofErr w:type="spellEnd"/>
      <w:r w:rsidRPr="00FF3E78">
        <w:rPr>
          <w:lang w:val="en-GB"/>
        </w:rPr>
        <w:t xml:space="preserve"> and epic episodes. As such, the </w:t>
      </w:r>
      <w:proofErr w:type="spellStart"/>
      <w:r w:rsidR="00DF7ACB">
        <w:rPr>
          <w:i/>
          <w:iCs/>
          <w:lang w:val="en-GB"/>
        </w:rPr>
        <w:t>Dharmaparīk</w:t>
      </w:r>
      <w:r w:rsidR="00DF7ACB">
        <w:rPr>
          <w:rFonts w:ascii="Cambria" w:hAnsi="Cambria" w:cs="Cambria"/>
          <w:i/>
          <w:iCs/>
          <w:lang w:val="en-GB"/>
        </w:rPr>
        <w:t>ṣā</w:t>
      </w:r>
      <w:proofErr w:type="spellEnd"/>
      <w:r w:rsidRPr="00FF3E78">
        <w:rPr>
          <w:lang w:val="en-GB"/>
        </w:rPr>
        <w:t xml:space="preserve"> </w:t>
      </w:r>
      <w:r>
        <w:rPr>
          <w:lang w:val="en-GB"/>
        </w:rPr>
        <w:t>should be understood within the tradition of</w:t>
      </w:r>
      <w:r w:rsidRPr="00FF3E78">
        <w:rPr>
          <w:lang w:val="en-GB"/>
        </w:rPr>
        <w:t xml:space="preserve"> </w:t>
      </w:r>
      <w:r w:rsidRPr="00FF3E78">
        <w:rPr>
          <w:i/>
          <w:iCs/>
          <w:lang w:val="en-GB"/>
        </w:rPr>
        <w:t xml:space="preserve">Jain </w:t>
      </w:r>
      <w:proofErr w:type="spellStart"/>
      <w:r w:rsidRPr="00FF3E78">
        <w:rPr>
          <w:i/>
          <w:iCs/>
          <w:lang w:val="en-GB"/>
        </w:rPr>
        <w:t>Purā</w:t>
      </w:r>
      <w:r w:rsidRPr="00FF3E78">
        <w:rPr>
          <w:rFonts w:ascii="Cambria" w:hAnsi="Cambria" w:cs="Cambria"/>
          <w:i/>
          <w:iCs/>
          <w:lang w:val="en-GB"/>
        </w:rPr>
        <w:t>ṇ</w:t>
      </w:r>
      <w:r w:rsidRPr="00FF3E78">
        <w:rPr>
          <w:i/>
          <w:iCs/>
          <w:lang w:val="en-GB"/>
        </w:rPr>
        <w:t>as</w:t>
      </w:r>
      <w:proofErr w:type="spellEnd"/>
      <w:r w:rsidRPr="00FF3E78">
        <w:rPr>
          <w:i/>
          <w:iCs/>
          <w:lang w:val="en-GB"/>
        </w:rPr>
        <w:t xml:space="preserve"> </w:t>
      </w:r>
      <w:r w:rsidRPr="00FF3E78">
        <w:rPr>
          <w:lang w:val="en-GB"/>
        </w:rPr>
        <w:t xml:space="preserve">and Jain versions of the </w:t>
      </w:r>
      <w:proofErr w:type="spellStart"/>
      <w:r w:rsidRPr="00FF3E78">
        <w:rPr>
          <w:i/>
          <w:iCs/>
          <w:lang w:val="en-GB"/>
        </w:rPr>
        <w:t>Mahābhārata</w:t>
      </w:r>
      <w:proofErr w:type="spellEnd"/>
      <w:r w:rsidRPr="00FF3E78">
        <w:rPr>
          <w:i/>
          <w:iCs/>
          <w:lang w:val="en-GB"/>
        </w:rPr>
        <w:t xml:space="preserve"> </w:t>
      </w:r>
      <w:r w:rsidRPr="00FF3E78">
        <w:rPr>
          <w:lang w:val="en-GB"/>
        </w:rPr>
        <w:t xml:space="preserve">and </w:t>
      </w:r>
      <w:proofErr w:type="spellStart"/>
      <w:r w:rsidRPr="00FF3E78">
        <w:rPr>
          <w:i/>
          <w:iCs/>
          <w:lang w:val="en-GB"/>
        </w:rPr>
        <w:t>Rāmāya</w:t>
      </w:r>
      <w:r w:rsidRPr="00FF3E78">
        <w:rPr>
          <w:rFonts w:ascii="Cambria" w:hAnsi="Cambria" w:cs="Cambria"/>
          <w:i/>
          <w:iCs/>
          <w:lang w:val="en-GB"/>
        </w:rPr>
        <w:t>ṇ</w:t>
      </w:r>
      <w:r w:rsidRPr="00FF3E78">
        <w:rPr>
          <w:i/>
          <w:iCs/>
          <w:lang w:val="en-GB"/>
        </w:rPr>
        <w:t>a</w:t>
      </w:r>
      <w:proofErr w:type="spellEnd"/>
      <w:r w:rsidRPr="00FF3E78">
        <w:rPr>
          <w:lang w:val="en-GB"/>
        </w:rPr>
        <w:t>.</w:t>
      </w:r>
      <w:r w:rsidRPr="00FF3E78">
        <w:rPr>
          <w:vertAlign w:val="superscript"/>
          <w:lang w:val="en-GB"/>
        </w:rPr>
        <w:footnoteReference w:id="1"/>
      </w:r>
      <w:r w:rsidRPr="00FF3E78">
        <w:rPr>
          <w:lang w:val="en-GB"/>
        </w:rPr>
        <w:t xml:space="preserve"> Other than this</w:t>
      </w:r>
      <w:r>
        <w:rPr>
          <w:lang w:val="en-GB"/>
        </w:rPr>
        <w:t>,</w:t>
      </w:r>
      <w:r w:rsidRPr="00FF3E78">
        <w:rPr>
          <w:lang w:val="en-GB"/>
        </w:rPr>
        <w:t xml:space="preserve"> the </w:t>
      </w:r>
      <w:proofErr w:type="spellStart"/>
      <w:r w:rsidRPr="00FF3E78">
        <w:rPr>
          <w:i/>
          <w:iCs/>
          <w:lang w:val="en-GB"/>
        </w:rPr>
        <w:t>Dharmaparīk</w:t>
      </w:r>
      <w:r w:rsidRPr="00FF3E78">
        <w:rPr>
          <w:rFonts w:ascii="Cambria" w:hAnsi="Cambria" w:cs="Cambria"/>
          <w:i/>
          <w:iCs/>
          <w:lang w:val="en-GB"/>
        </w:rPr>
        <w:t>ṣ</w:t>
      </w:r>
      <w:r w:rsidRPr="00FF3E78">
        <w:rPr>
          <w:rFonts w:cs="Palatino Linotype"/>
          <w:i/>
          <w:iCs/>
          <w:lang w:val="en-GB"/>
        </w:rPr>
        <w:t>ā</w:t>
      </w:r>
      <w:proofErr w:type="spellEnd"/>
      <w:r w:rsidRPr="00FF3E78">
        <w:rPr>
          <w:lang w:val="en-GB"/>
        </w:rPr>
        <w:t xml:space="preserve"> is often compared to the</w:t>
      </w:r>
      <w:r w:rsidR="0094291E">
        <w:rPr>
          <w:lang w:val="en-GB"/>
        </w:rPr>
        <w:t xml:space="preserve"> Jain</w:t>
      </w:r>
      <w:r w:rsidRPr="00FF3E78">
        <w:rPr>
          <w:lang w:val="en-GB"/>
        </w:rPr>
        <w:t xml:space="preserve"> </w:t>
      </w:r>
      <w:proofErr w:type="spellStart"/>
      <w:r w:rsidRPr="00FF3E78">
        <w:rPr>
          <w:i/>
          <w:iCs/>
          <w:lang w:val="en-GB"/>
        </w:rPr>
        <w:t>Dhūrtākhyāna</w:t>
      </w:r>
      <w:proofErr w:type="spellEnd"/>
      <w:r w:rsidRPr="00FF3E78">
        <w:rPr>
          <w:i/>
          <w:iCs/>
          <w:lang w:val="en-GB"/>
        </w:rPr>
        <w:t xml:space="preserve"> </w:t>
      </w:r>
      <w:r>
        <w:rPr>
          <w:lang w:val="en-GB"/>
        </w:rPr>
        <w:t xml:space="preserve">('A Tale of Rogues') </w:t>
      </w:r>
      <w:r w:rsidRPr="00FF3E78">
        <w:rPr>
          <w:lang w:val="en-GB"/>
        </w:rPr>
        <w:t>because the works have a similar frame structure, common narrative motifs, and because both texts are satirical towards religion.</w:t>
      </w:r>
      <w:r w:rsidRPr="00FF3E78">
        <w:rPr>
          <w:vertAlign w:val="superscript"/>
          <w:lang w:val="en-GB"/>
        </w:rPr>
        <w:footnoteReference w:id="2"/>
      </w:r>
      <w:r w:rsidRPr="00FF3E78">
        <w:rPr>
          <w:lang w:val="en-GB"/>
        </w:rPr>
        <w:t xml:space="preserve"> Being a narrative text with a satirical undertone to criticize other religious traditions, the </w:t>
      </w:r>
      <w:proofErr w:type="spellStart"/>
      <w:r w:rsidRPr="00FF3E78">
        <w:rPr>
          <w:i/>
          <w:iCs/>
          <w:lang w:val="en-GB"/>
        </w:rPr>
        <w:t>Dharmaparīk</w:t>
      </w:r>
      <w:r w:rsidRPr="00FF3E78">
        <w:rPr>
          <w:rFonts w:ascii="Cambria" w:hAnsi="Cambria" w:cs="Cambria"/>
          <w:i/>
          <w:iCs/>
          <w:lang w:val="en-GB"/>
        </w:rPr>
        <w:t>ṣ</w:t>
      </w:r>
      <w:r w:rsidRPr="00FF3E78">
        <w:rPr>
          <w:rFonts w:cs="Palatino Linotype"/>
          <w:i/>
          <w:iCs/>
          <w:lang w:val="en-GB"/>
        </w:rPr>
        <w:t>ā</w:t>
      </w:r>
      <w:proofErr w:type="spellEnd"/>
      <w:r w:rsidRPr="00FF3E78">
        <w:rPr>
          <w:lang w:val="en-GB"/>
        </w:rPr>
        <w:t xml:space="preserve"> was most likely meant to be heard or read by a Jain lay audience, with the purpose of directing them back on the correct Jain path and affirm the Jain path as the one true tradition.</w:t>
      </w:r>
    </w:p>
    <w:p w14:paraId="4E4D5017" w14:textId="774A235A" w:rsidR="007E6977" w:rsidRDefault="007E6977" w:rsidP="007E6977">
      <w:pPr>
        <w:pStyle w:val="MDPI31text"/>
        <w:rPr>
          <w:lang w:val="en-GB"/>
        </w:rPr>
      </w:pPr>
      <w:r w:rsidRPr="00FF3E78">
        <w:t xml:space="preserve">The main narrative of the </w:t>
      </w:r>
      <w:proofErr w:type="spellStart"/>
      <w:r w:rsidRPr="00FF3E78">
        <w:rPr>
          <w:i/>
          <w:iCs/>
          <w:lang w:val="en-GB"/>
        </w:rPr>
        <w:t>Dharmaparīk</w:t>
      </w:r>
      <w:r w:rsidRPr="00FF3E78">
        <w:rPr>
          <w:rFonts w:ascii="Cambria" w:hAnsi="Cambria" w:cs="Cambria"/>
          <w:i/>
          <w:iCs/>
          <w:lang w:val="en-GB"/>
        </w:rPr>
        <w:t>ṣ</w:t>
      </w:r>
      <w:r w:rsidRPr="00FF3E78">
        <w:rPr>
          <w:rFonts w:cs="Palatino Linotype"/>
          <w:i/>
          <w:iCs/>
          <w:lang w:val="en-GB"/>
        </w:rPr>
        <w:t>ā</w:t>
      </w:r>
      <w:proofErr w:type="spellEnd"/>
      <w:r w:rsidRPr="00FF3E78">
        <w:rPr>
          <w:i/>
          <w:iCs/>
          <w:lang w:val="en-GB"/>
        </w:rPr>
        <w:t xml:space="preserve"> </w:t>
      </w:r>
      <w:r w:rsidRPr="00FF3E78">
        <w:rPr>
          <w:lang w:val="en-GB"/>
        </w:rPr>
        <w:t xml:space="preserve">tells the story of two </w:t>
      </w:r>
      <w:proofErr w:type="spellStart"/>
      <w:r w:rsidRPr="00FF3E78">
        <w:rPr>
          <w:lang w:val="en-GB"/>
        </w:rPr>
        <w:t>Vidyādharas</w:t>
      </w:r>
      <w:proofErr w:type="spellEnd"/>
      <w:r w:rsidRPr="00FF3E78">
        <w:rPr>
          <w:lang w:val="en-GB"/>
        </w:rPr>
        <w:t xml:space="preserve">, </w:t>
      </w:r>
      <w:r>
        <w:rPr>
          <w:lang w:val="en-GB"/>
        </w:rPr>
        <w:t>humans with extraordinary powers (</w:t>
      </w:r>
      <w:proofErr w:type="spellStart"/>
      <w:r w:rsidRPr="00FF3E78">
        <w:rPr>
          <w:i/>
          <w:iCs/>
          <w:lang w:val="en-GB"/>
        </w:rPr>
        <w:t>vidyā</w:t>
      </w:r>
      <w:r>
        <w:rPr>
          <w:i/>
          <w:iCs/>
          <w:lang w:val="en-GB"/>
        </w:rPr>
        <w:t>s</w:t>
      </w:r>
      <w:proofErr w:type="spellEnd"/>
      <w:r w:rsidRPr="00AE6264">
        <w:rPr>
          <w:lang w:val="en-GB"/>
        </w:rPr>
        <w:t>)</w:t>
      </w:r>
      <w:r w:rsidRPr="00AE6264">
        <w:rPr>
          <w:i/>
          <w:iCs/>
          <w:lang w:val="en-GB"/>
        </w:rPr>
        <w:t xml:space="preserve"> </w:t>
      </w:r>
      <w:r>
        <w:rPr>
          <w:lang w:val="en-GB"/>
        </w:rPr>
        <w:t>such as</w:t>
      </w:r>
      <w:r w:rsidRPr="00FF3E78">
        <w:rPr>
          <w:lang w:val="en-GB"/>
        </w:rPr>
        <w:t xml:space="preserve"> the ability to fly, in search </w:t>
      </w:r>
      <w:r>
        <w:rPr>
          <w:lang w:val="en-GB"/>
        </w:rPr>
        <w:t>of</w:t>
      </w:r>
      <w:r w:rsidRPr="00FF3E78">
        <w:rPr>
          <w:lang w:val="en-GB"/>
        </w:rPr>
        <w:t xml:space="preserve"> the truth. One of them, </w:t>
      </w:r>
      <w:proofErr w:type="spellStart"/>
      <w:r w:rsidRPr="00FF3E78">
        <w:rPr>
          <w:lang w:val="en-GB"/>
        </w:rPr>
        <w:t>Manovega</w:t>
      </w:r>
      <w:proofErr w:type="spellEnd"/>
      <w:r w:rsidRPr="00FF3E78">
        <w:rPr>
          <w:lang w:val="en-GB"/>
        </w:rPr>
        <w:t>, is a devoted Jain</w:t>
      </w:r>
      <w:r>
        <w:rPr>
          <w:lang w:val="en-GB"/>
        </w:rPr>
        <w:t>.</w:t>
      </w:r>
      <w:r w:rsidRPr="00FF3E78">
        <w:rPr>
          <w:lang w:val="en-GB"/>
        </w:rPr>
        <w:t xml:space="preserve"> </w:t>
      </w:r>
      <w:r>
        <w:rPr>
          <w:lang w:val="en-GB"/>
        </w:rPr>
        <w:t>H</w:t>
      </w:r>
      <w:r w:rsidRPr="00FF3E78">
        <w:rPr>
          <w:lang w:val="en-GB"/>
        </w:rPr>
        <w:t xml:space="preserve">e is concerned about his friend, the other </w:t>
      </w:r>
      <w:proofErr w:type="spellStart"/>
      <w:r w:rsidRPr="00FF3E78">
        <w:rPr>
          <w:lang w:val="en-GB"/>
        </w:rPr>
        <w:t>Vidyādhara</w:t>
      </w:r>
      <w:proofErr w:type="spellEnd"/>
      <w:r w:rsidRPr="00FF3E78">
        <w:rPr>
          <w:lang w:val="en-GB"/>
        </w:rPr>
        <w:t xml:space="preserve"> called </w:t>
      </w:r>
      <w:proofErr w:type="spellStart"/>
      <w:r w:rsidRPr="00FF3E78">
        <w:rPr>
          <w:lang w:val="en-GB"/>
        </w:rPr>
        <w:t>Pavanavega</w:t>
      </w:r>
      <w:proofErr w:type="spellEnd"/>
      <w:r w:rsidRPr="00FF3E78">
        <w:rPr>
          <w:lang w:val="en-GB"/>
        </w:rPr>
        <w:t xml:space="preserve">, who has </w:t>
      </w:r>
      <w:r>
        <w:rPr>
          <w:lang w:val="en-GB"/>
        </w:rPr>
        <w:t>strayed</w:t>
      </w:r>
      <w:r w:rsidRPr="00FF3E78">
        <w:rPr>
          <w:lang w:val="en-GB"/>
        </w:rPr>
        <w:t xml:space="preserve"> from the right religious path and who is especially drawn towards the Brahmanical religion. In search </w:t>
      </w:r>
      <w:r>
        <w:rPr>
          <w:lang w:val="en-GB"/>
        </w:rPr>
        <w:t>of</w:t>
      </w:r>
      <w:r w:rsidRPr="00FF3E78">
        <w:rPr>
          <w:lang w:val="en-GB"/>
        </w:rPr>
        <w:t xml:space="preserve"> help to get his friend back on ‘the right track’, </w:t>
      </w:r>
      <w:proofErr w:type="spellStart"/>
      <w:r w:rsidRPr="00FF3E78">
        <w:rPr>
          <w:lang w:val="en-GB"/>
        </w:rPr>
        <w:t>Manovega</w:t>
      </w:r>
      <w:proofErr w:type="spellEnd"/>
      <w:r w:rsidRPr="00FF3E78">
        <w:rPr>
          <w:lang w:val="en-GB"/>
        </w:rPr>
        <w:t xml:space="preserve"> goes to </w:t>
      </w:r>
      <w:proofErr w:type="spellStart"/>
      <w:r w:rsidRPr="00FF3E78">
        <w:rPr>
          <w:lang w:val="en-GB"/>
        </w:rPr>
        <w:t>Ujjayinī</w:t>
      </w:r>
      <w:proofErr w:type="spellEnd"/>
      <w:r w:rsidRPr="00FF3E78">
        <w:rPr>
          <w:lang w:val="en-GB"/>
        </w:rPr>
        <w:t xml:space="preserve"> where he meets a Jain monk </w:t>
      </w:r>
      <w:proofErr w:type="spellStart"/>
      <w:r w:rsidRPr="00FF3E78">
        <w:rPr>
          <w:lang w:val="en-GB"/>
        </w:rPr>
        <w:t>Jinamati</w:t>
      </w:r>
      <w:proofErr w:type="spellEnd"/>
      <w:r w:rsidRPr="00FF3E78">
        <w:rPr>
          <w:lang w:val="en-GB"/>
        </w:rPr>
        <w:t xml:space="preserve">. Hearing </w:t>
      </w:r>
      <w:proofErr w:type="spellStart"/>
      <w:r w:rsidRPr="00FF3E78">
        <w:rPr>
          <w:lang w:val="en-GB"/>
        </w:rPr>
        <w:t>Manovega’s</w:t>
      </w:r>
      <w:proofErr w:type="spellEnd"/>
      <w:r w:rsidRPr="00FF3E78">
        <w:rPr>
          <w:lang w:val="en-GB"/>
        </w:rPr>
        <w:t xml:space="preserve"> problem, </w:t>
      </w:r>
      <w:proofErr w:type="spellStart"/>
      <w:r w:rsidRPr="00FF3E78">
        <w:rPr>
          <w:lang w:val="en-GB"/>
        </w:rPr>
        <w:t>Jinamati</w:t>
      </w:r>
      <w:proofErr w:type="spellEnd"/>
      <w:r w:rsidRPr="00FF3E78">
        <w:rPr>
          <w:lang w:val="en-GB"/>
        </w:rPr>
        <w:t xml:space="preserve"> advises him to take his friend to </w:t>
      </w:r>
      <w:proofErr w:type="spellStart"/>
      <w:r w:rsidRPr="00FF3E78">
        <w:rPr>
          <w:lang w:val="en-GB"/>
        </w:rPr>
        <w:t>Pā</w:t>
      </w:r>
      <w:r w:rsidRPr="00FF3E78">
        <w:rPr>
          <w:rFonts w:ascii="Cambria" w:hAnsi="Cambria" w:cs="Cambria"/>
          <w:lang w:val="en-GB"/>
        </w:rPr>
        <w:t>ṭ</w:t>
      </w:r>
      <w:r w:rsidRPr="00FF3E78">
        <w:rPr>
          <w:lang w:val="en-GB"/>
        </w:rPr>
        <w:t>al</w:t>
      </w:r>
      <w:r w:rsidRPr="00FF3E78">
        <w:rPr>
          <w:rFonts w:cs="Palatino Linotype"/>
          <w:lang w:val="en-GB"/>
        </w:rPr>
        <w:t>ī</w:t>
      </w:r>
      <w:r w:rsidRPr="00FF3E78">
        <w:rPr>
          <w:lang w:val="en-GB"/>
        </w:rPr>
        <w:t>putra</w:t>
      </w:r>
      <w:proofErr w:type="spellEnd"/>
      <w:r w:rsidRPr="00FF3E78">
        <w:rPr>
          <w:lang w:val="en-GB"/>
        </w:rPr>
        <w:t xml:space="preserve">, a city dominated by Brahmins, portrayed as experts of the Hindu scriptures. There, </w:t>
      </w:r>
      <w:proofErr w:type="spellStart"/>
      <w:r w:rsidRPr="00FF3E78">
        <w:rPr>
          <w:lang w:val="en-GB"/>
        </w:rPr>
        <w:t>Manovega</w:t>
      </w:r>
      <w:proofErr w:type="spellEnd"/>
      <w:r w:rsidRPr="00FF3E78">
        <w:rPr>
          <w:lang w:val="en-GB"/>
        </w:rPr>
        <w:t xml:space="preserve"> engages in discussions with the Brahmins</w:t>
      </w:r>
      <w:r>
        <w:rPr>
          <w:lang w:val="en-GB"/>
        </w:rPr>
        <w:t>,</w:t>
      </w:r>
      <w:r w:rsidRPr="00FF3E78">
        <w:rPr>
          <w:lang w:val="en-GB"/>
        </w:rPr>
        <w:t xml:space="preserve"> </w:t>
      </w:r>
      <w:r>
        <w:rPr>
          <w:lang w:val="en-GB"/>
        </w:rPr>
        <w:t>each initiated by the narration of an</w:t>
      </w:r>
      <w:r w:rsidRPr="00FF3E78">
        <w:rPr>
          <w:lang w:val="en-GB"/>
        </w:rPr>
        <w:t xml:space="preserve"> incredible stor</w:t>
      </w:r>
      <w:r>
        <w:rPr>
          <w:lang w:val="en-GB"/>
        </w:rPr>
        <w:t>y</w:t>
      </w:r>
      <w:r w:rsidRPr="00FF3E78">
        <w:rPr>
          <w:lang w:val="en-GB"/>
        </w:rPr>
        <w:t xml:space="preserve"> he </w:t>
      </w:r>
      <w:r>
        <w:rPr>
          <w:lang w:val="en-GB"/>
        </w:rPr>
        <w:t>has invented about</w:t>
      </w:r>
      <w:r w:rsidRPr="00FF3E78">
        <w:rPr>
          <w:lang w:val="en-GB"/>
        </w:rPr>
        <w:t xml:space="preserve"> his life. From this point</w:t>
      </w:r>
      <w:r>
        <w:rPr>
          <w:lang w:val="en-GB"/>
        </w:rPr>
        <w:t xml:space="preserve"> onwards</w:t>
      </w:r>
      <w:r w:rsidRPr="00FF3E78">
        <w:rPr>
          <w:lang w:val="en-GB"/>
        </w:rPr>
        <w:t xml:space="preserve"> the narrative frame takes on a repetitive structure in which</w:t>
      </w:r>
      <w:r>
        <w:rPr>
          <w:lang w:val="en-GB"/>
        </w:rPr>
        <w:t>,</w:t>
      </w:r>
      <w:r w:rsidRPr="00FF3E78">
        <w:rPr>
          <w:lang w:val="en-GB"/>
        </w:rPr>
        <w:t xml:space="preserve"> for every few </w:t>
      </w:r>
      <w:proofErr w:type="spellStart"/>
      <w:r w:rsidRPr="00FF3E78">
        <w:rPr>
          <w:lang w:val="en-GB"/>
        </w:rPr>
        <w:t>substories</w:t>
      </w:r>
      <w:proofErr w:type="spellEnd"/>
      <w:r>
        <w:rPr>
          <w:lang w:val="en-GB"/>
        </w:rPr>
        <w:t>,</w:t>
      </w:r>
      <w:r w:rsidRPr="00FF3E78">
        <w:rPr>
          <w:lang w:val="en-GB"/>
        </w:rPr>
        <w:t xml:space="preserve"> the two </w:t>
      </w:r>
      <w:proofErr w:type="spellStart"/>
      <w:r w:rsidRPr="00FF3E78">
        <w:rPr>
          <w:lang w:val="en-GB"/>
        </w:rPr>
        <w:t>Vidyādharas</w:t>
      </w:r>
      <w:proofErr w:type="spellEnd"/>
      <w:r w:rsidRPr="00FF3E78">
        <w:rPr>
          <w:lang w:val="en-GB"/>
        </w:rPr>
        <w:t xml:space="preserve"> take on a different </w:t>
      </w:r>
      <w:r>
        <w:rPr>
          <w:lang w:val="en-GB"/>
        </w:rPr>
        <w:t>disguise</w:t>
      </w:r>
      <w:r w:rsidRPr="00FF3E78">
        <w:rPr>
          <w:lang w:val="en-GB"/>
        </w:rPr>
        <w:t xml:space="preserve"> before entering the city of </w:t>
      </w:r>
      <w:proofErr w:type="spellStart"/>
      <w:r w:rsidRPr="00FF3E78">
        <w:rPr>
          <w:lang w:val="en-GB"/>
        </w:rPr>
        <w:t>Pā</w:t>
      </w:r>
      <w:r w:rsidRPr="00FF3E78">
        <w:rPr>
          <w:rFonts w:ascii="Cambria" w:hAnsi="Cambria" w:cs="Cambria"/>
          <w:lang w:val="en-GB"/>
        </w:rPr>
        <w:t>ṭ</w:t>
      </w:r>
      <w:r w:rsidRPr="00FF3E78">
        <w:rPr>
          <w:lang w:val="en-GB"/>
        </w:rPr>
        <w:t>al</w:t>
      </w:r>
      <w:r w:rsidRPr="00FF3E78">
        <w:rPr>
          <w:rFonts w:cs="Palatino Linotype"/>
          <w:lang w:val="en-GB"/>
        </w:rPr>
        <w:t>ī</w:t>
      </w:r>
      <w:r w:rsidRPr="00FF3E78">
        <w:rPr>
          <w:lang w:val="en-GB"/>
        </w:rPr>
        <w:t>putra</w:t>
      </w:r>
      <w:proofErr w:type="spellEnd"/>
      <w:r w:rsidRPr="00FF3E78">
        <w:rPr>
          <w:lang w:val="en-GB"/>
        </w:rPr>
        <w:t xml:space="preserve">. In this way, every time they enter </w:t>
      </w:r>
      <w:proofErr w:type="spellStart"/>
      <w:r w:rsidRPr="00FF3E78">
        <w:rPr>
          <w:lang w:val="en-GB"/>
        </w:rPr>
        <w:t>Pā</w:t>
      </w:r>
      <w:r w:rsidRPr="00FF3E78">
        <w:rPr>
          <w:rFonts w:ascii="Cambria" w:hAnsi="Cambria" w:cs="Cambria"/>
          <w:lang w:val="en-GB"/>
        </w:rPr>
        <w:t>ṭ</w:t>
      </w:r>
      <w:r w:rsidRPr="00FF3E78">
        <w:rPr>
          <w:lang w:val="en-GB"/>
        </w:rPr>
        <w:t>al</w:t>
      </w:r>
      <w:r w:rsidRPr="00FF3E78">
        <w:rPr>
          <w:rFonts w:cs="Palatino Linotype"/>
          <w:lang w:val="en-GB"/>
        </w:rPr>
        <w:t>ī</w:t>
      </w:r>
      <w:r w:rsidRPr="00FF3E78">
        <w:rPr>
          <w:lang w:val="en-GB"/>
        </w:rPr>
        <w:t>putra</w:t>
      </w:r>
      <w:proofErr w:type="spellEnd"/>
      <w:r w:rsidRPr="00FF3E78">
        <w:rPr>
          <w:lang w:val="en-GB"/>
        </w:rPr>
        <w:t xml:space="preserve"> they play a different character to instigate the curiosity of the Brahmins living there. Noticing the two peculiar newcomers, the Brahmins approach them and ask them who they are, upon which </w:t>
      </w:r>
      <w:proofErr w:type="spellStart"/>
      <w:r w:rsidRPr="00FF3E78">
        <w:rPr>
          <w:lang w:val="en-GB"/>
        </w:rPr>
        <w:t>Manovega</w:t>
      </w:r>
      <w:proofErr w:type="spellEnd"/>
      <w:r w:rsidRPr="00FF3E78">
        <w:rPr>
          <w:lang w:val="en-GB"/>
        </w:rPr>
        <w:t xml:space="preserve"> answers with an incredible story from his life. When the Brahmins do not believe him, </w:t>
      </w:r>
      <w:proofErr w:type="spellStart"/>
      <w:r w:rsidRPr="00FF3E78">
        <w:rPr>
          <w:lang w:val="en-GB"/>
        </w:rPr>
        <w:t>Manovega</w:t>
      </w:r>
      <w:proofErr w:type="spellEnd"/>
      <w:r w:rsidRPr="00FF3E78">
        <w:rPr>
          <w:lang w:val="en-GB"/>
        </w:rPr>
        <w:t xml:space="preserve"> justifies his story by referring to parallel episodes from the Hindu epics and </w:t>
      </w:r>
      <w:proofErr w:type="spellStart"/>
      <w:r w:rsidRPr="00FF3E78">
        <w:rPr>
          <w:i/>
          <w:iCs/>
          <w:lang w:val="en-GB"/>
        </w:rPr>
        <w:t>Purā</w:t>
      </w:r>
      <w:r w:rsidRPr="00FF3E78">
        <w:rPr>
          <w:rFonts w:ascii="Cambria" w:hAnsi="Cambria" w:cs="Cambria"/>
          <w:i/>
          <w:iCs/>
          <w:lang w:val="en-GB"/>
        </w:rPr>
        <w:t>ṇ</w:t>
      </w:r>
      <w:r w:rsidRPr="00FF3E78">
        <w:rPr>
          <w:i/>
          <w:iCs/>
          <w:lang w:val="en-GB"/>
        </w:rPr>
        <w:t>as</w:t>
      </w:r>
      <w:proofErr w:type="spellEnd"/>
      <w:r w:rsidRPr="00FF3E78">
        <w:rPr>
          <w:lang w:val="en-GB"/>
        </w:rPr>
        <w:t xml:space="preserve">. In this way, he proves the inconsistency of </w:t>
      </w:r>
      <w:proofErr w:type="spellStart"/>
      <w:r w:rsidRPr="00FF3E78">
        <w:rPr>
          <w:lang w:val="en-GB"/>
        </w:rPr>
        <w:t>Purā</w:t>
      </w:r>
      <w:r w:rsidRPr="00FF3E78">
        <w:rPr>
          <w:rFonts w:ascii="Cambria" w:hAnsi="Cambria" w:cs="Cambria"/>
          <w:lang w:val="en-GB"/>
        </w:rPr>
        <w:t>ṇ</w:t>
      </w:r>
      <w:r w:rsidRPr="00FF3E78">
        <w:rPr>
          <w:lang w:val="en-GB"/>
        </w:rPr>
        <w:t>ic</w:t>
      </w:r>
      <w:proofErr w:type="spellEnd"/>
      <w:r w:rsidRPr="00FF3E78">
        <w:rPr>
          <w:lang w:val="en-GB"/>
        </w:rPr>
        <w:t xml:space="preserve"> Hinduism. After every such discussion the </w:t>
      </w:r>
      <w:proofErr w:type="spellStart"/>
      <w:r w:rsidRPr="00FF3E78">
        <w:rPr>
          <w:lang w:val="en-GB"/>
        </w:rPr>
        <w:t>Vidyādharas</w:t>
      </w:r>
      <w:proofErr w:type="spellEnd"/>
      <w:r w:rsidRPr="00FF3E78">
        <w:rPr>
          <w:lang w:val="en-GB"/>
        </w:rPr>
        <w:t xml:space="preserve"> go outside of the city. There</w:t>
      </w:r>
      <w:r>
        <w:rPr>
          <w:lang w:val="en-GB"/>
        </w:rPr>
        <w:t>,</w:t>
      </w:r>
      <w:r w:rsidRPr="00FF3E78">
        <w:rPr>
          <w:lang w:val="en-GB"/>
        </w:rPr>
        <w:t xml:space="preserve"> </w:t>
      </w:r>
      <w:proofErr w:type="spellStart"/>
      <w:r w:rsidRPr="00FF3E78">
        <w:rPr>
          <w:lang w:val="en-GB"/>
        </w:rPr>
        <w:t>Manovega</w:t>
      </w:r>
      <w:proofErr w:type="spellEnd"/>
      <w:r w:rsidRPr="00FF3E78">
        <w:rPr>
          <w:lang w:val="en-GB"/>
        </w:rPr>
        <w:t xml:space="preserve"> explains to </w:t>
      </w:r>
      <w:proofErr w:type="spellStart"/>
      <w:r w:rsidRPr="00FF3E78">
        <w:rPr>
          <w:lang w:val="en-GB"/>
        </w:rPr>
        <w:t>Pavanavega</w:t>
      </w:r>
      <w:proofErr w:type="spellEnd"/>
      <w:r w:rsidRPr="00FF3E78">
        <w:rPr>
          <w:lang w:val="en-GB"/>
        </w:rPr>
        <w:t xml:space="preserve"> didactic passages from the Jain doctrine. In the end </w:t>
      </w:r>
      <w:proofErr w:type="spellStart"/>
      <w:r w:rsidRPr="00FF3E78">
        <w:rPr>
          <w:lang w:val="en-GB"/>
        </w:rPr>
        <w:t>Pavanavega</w:t>
      </w:r>
      <w:proofErr w:type="spellEnd"/>
      <w:r w:rsidRPr="00FF3E78">
        <w:rPr>
          <w:lang w:val="en-GB"/>
        </w:rPr>
        <w:t xml:space="preserve"> is converted and accepts the vow of a Jain layman.</w:t>
      </w:r>
    </w:p>
    <w:p w14:paraId="723B256F" w14:textId="77777777" w:rsidR="00C832BC" w:rsidRDefault="00C832BC" w:rsidP="007E6977">
      <w:pPr>
        <w:pStyle w:val="MDPI31text"/>
        <w:rPr>
          <w:lang w:val="en-GB"/>
        </w:rPr>
      </w:pPr>
    </w:p>
    <w:p w14:paraId="53F12C18" w14:textId="77777777" w:rsidR="00C832BC" w:rsidRDefault="00F00EE6" w:rsidP="007E6977">
      <w:pPr>
        <w:pStyle w:val="MDPI31text"/>
        <w:rPr>
          <w:lang w:val="en-GB"/>
        </w:rPr>
      </w:pPr>
      <w:r>
        <w:rPr>
          <w:lang w:val="en-GB"/>
        </w:rPr>
        <w:t xml:space="preserve">The fragment I would like to read is set within the discussions with the Brahmins and is one of the first </w:t>
      </w:r>
      <w:proofErr w:type="spellStart"/>
      <w:r>
        <w:rPr>
          <w:lang w:val="en-GB"/>
        </w:rPr>
        <w:t>substories</w:t>
      </w:r>
      <w:proofErr w:type="spellEnd"/>
      <w:r>
        <w:rPr>
          <w:lang w:val="en-GB"/>
        </w:rPr>
        <w:t xml:space="preserve"> of the text. Having entered </w:t>
      </w:r>
      <w:proofErr w:type="spellStart"/>
      <w:r>
        <w:rPr>
          <w:lang w:val="en-GB"/>
        </w:rPr>
        <w:t>Pā</w:t>
      </w:r>
      <w:r>
        <w:rPr>
          <w:rFonts w:ascii="Cambria" w:hAnsi="Cambria" w:cs="Cambria"/>
          <w:lang w:val="en-GB"/>
        </w:rPr>
        <w:t>ṭalīputra</w:t>
      </w:r>
      <w:proofErr w:type="spellEnd"/>
      <w:r>
        <w:rPr>
          <w:lang w:val="en-GB"/>
        </w:rPr>
        <w:t xml:space="preserve"> in the disguise of grass- and wood-sellers, </w:t>
      </w:r>
      <w:proofErr w:type="spellStart"/>
      <w:r>
        <w:rPr>
          <w:lang w:val="en-GB"/>
        </w:rPr>
        <w:t>Manovega</w:t>
      </w:r>
      <w:proofErr w:type="spellEnd"/>
      <w:r>
        <w:rPr>
          <w:lang w:val="en-GB"/>
        </w:rPr>
        <w:t xml:space="preserve"> (together with </w:t>
      </w:r>
      <w:proofErr w:type="spellStart"/>
      <w:r>
        <w:rPr>
          <w:lang w:val="en-GB"/>
        </w:rPr>
        <w:t>Pavanavega</w:t>
      </w:r>
      <w:proofErr w:type="spellEnd"/>
      <w:r>
        <w:rPr>
          <w:lang w:val="en-GB"/>
        </w:rPr>
        <w:t xml:space="preserve">) is asked by the Brahmins to tell them who they are and what they come to do in the city. </w:t>
      </w:r>
      <w:proofErr w:type="spellStart"/>
      <w:r>
        <w:rPr>
          <w:lang w:val="en-GB"/>
        </w:rPr>
        <w:t>Manovega</w:t>
      </w:r>
      <w:proofErr w:type="spellEnd"/>
      <w:r>
        <w:rPr>
          <w:lang w:val="en-GB"/>
        </w:rPr>
        <w:t xml:space="preserve"> does not immediately respond to this request, but first tests </w:t>
      </w:r>
      <w:r w:rsidR="00E528DC">
        <w:rPr>
          <w:lang w:val="en-GB"/>
        </w:rPr>
        <w:t xml:space="preserve">the Brahmins if they are not too foolish to believe and understand what he will say. To this goal he explains, in several </w:t>
      </w:r>
      <w:proofErr w:type="spellStart"/>
      <w:r w:rsidR="00E528DC">
        <w:rPr>
          <w:lang w:val="en-GB"/>
        </w:rPr>
        <w:t>substories</w:t>
      </w:r>
      <w:proofErr w:type="spellEnd"/>
      <w:r w:rsidR="00E528DC">
        <w:rPr>
          <w:lang w:val="en-GB"/>
        </w:rPr>
        <w:t xml:space="preserve">, ten types of fools: the lover, the evil-minded, the common fool, the stubborn, the bilious, the fool of the mango, the fool of the </w:t>
      </w:r>
      <w:proofErr w:type="spellStart"/>
      <w:r w:rsidR="00E528DC">
        <w:rPr>
          <w:lang w:val="en-GB"/>
        </w:rPr>
        <w:t>aloetrees</w:t>
      </w:r>
      <w:proofErr w:type="spellEnd"/>
      <w:r w:rsidR="00E528DC">
        <w:rPr>
          <w:lang w:val="en-GB"/>
        </w:rPr>
        <w:t xml:space="preserve">, the pierced fool, the fool with sandalwood, the fool with milk. The story I want to read is the first of the ten fools, about the lover who is blind to the falsities of his beautiful wife. </w:t>
      </w:r>
    </w:p>
    <w:p w14:paraId="6EF248A6" w14:textId="4FA4632A" w:rsidR="00F7335F" w:rsidRPr="00C832BC" w:rsidRDefault="00C832BC" w:rsidP="007E6977">
      <w:pPr>
        <w:pStyle w:val="MDPI31text"/>
        <w:rPr>
          <w:lang w:val="en-GB"/>
        </w:rPr>
      </w:pPr>
      <w:r>
        <w:rPr>
          <w:lang w:val="en-GB"/>
        </w:rPr>
        <w:lastRenderedPageBreak/>
        <w:t xml:space="preserve">In order to read the passage, I have provided two texts: the first is the </w:t>
      </w:r>
      <w:proofErr w:type="spellStart"/>
      <w:r>
        <w:rPr>
          <w:lang w:val="en-GB"/>
        </w:rPr>
        <w:t>Braj</w:t>
      </w:r>
      <w:proofErr w:type="spellEnd"/>
      <w:r>
        <w:rPr>
          <w:lang w:val="en-GB"/>
        </w:rPr>
        <w:t xml:space="preserve"> text by Manohar</w:t>
      </w:r>
      <w:r w:rsidRPr="00687135">
        <w:t xml:space="preserve">dās (in two manuscripts) and the second is the Sanskrit eleventh-century version by Amitagati (edition), on which Manohardās has (explicitely) based his version. The version by Amitagati is not the oldest one, but it is the most popular version of the </w:t>
      </w:r>
      <w:r w:rsidRPr="00687135">
        <w:rPr>
          <w:i/>
          <w:iCs/>
        </w:rPr>
        <w:t>Dharmaparīk</w:t>
      </w:r>
      <w:r w:rsidRPr="00687135">
        <w:rPr>
          <w:rFonts w:ascii="Cambria" w:hAnsi="Cambria" w:cs="Cambria"/>
          <w:i/>
          <w:iCs/>
        </w:rPr>
        <w:t>ṣā</w:t>
      </w:r>
      <w:r w:rsidRPr="00687135">
        <w:rPr>
          <w:rFonts w:ascii="Cambria" w:hAnsi="Cambria" w:cs="Cambria"/>
        </w:rPr>
        <w:t xml:space="preserve">. </w:t>
      </w:r>
    </w:p>
    <w:p w14:paraId="4923A4CE" w14:textId="41D6EEC6" w:rsidR="00F7335F" w:rsidRPr="00687135" w:rsidRDefault="00F7335F" w:rsidP="007E6977">
      <w:pPr>
        <w:pStyle w:val="MDPI31text"/>
      </w:pPr>
      <w:r>
        <w:rPr>
          <w:lang w:val="en-GB"/>
        </w:rPr>
        <w:t xml:space="preserve">The fragments </w:t>
      </w:r>
      <w:proofErr w:type="gramStart"/>
      <w:r>
        <w:rPr>
          <w:lang w:val="en-GB"/>
        </w:rPr>
        <w:t>starts</w:t>
      </w:r>
      <w:proofErr w:type="gramEnd"/>
      <w:r>
        <w:rPr>
          <w:lang w:val="en-GB"/>
        </w:rPr>
        <w:t xml:space="preserve">, </w:t>
      </w:r>
      <w:r w:rsidRPr="00687135">
        <w:rPr>
          <w:b/>
          <w:bCs/>
          <w:color w:val="auto"/>
          <w:lang w:val="en-GB"/>
        </w:rPr>
        <w:t>in manuscript 616 of BORI</w:t>
      </w:r>
      <w:r>
        <w:rPr>
          <w:lang w:val="en-GB"/>
        </w:rPr>
        <w:t xml:space="preserve">, on page 41 of the pdf (folio 20) from the third line counted from below (verse 75): </w:t>
      </w:r>
      <w:r w:rsidRPr="00687135">
        <w:rPr>
          <w:i/>
          <w:iCs/>
        </w:rPr>
        <w:t>revā nadī</w:t>
      </w:r>
      <w:r w:rsidRPr="00687135">
        <w:t xml:space="preserve">... It ends on page </w:t>
      </w:r>
      <w:r w:rsidR="00C832BC" w:rsidRPr="00687135">
        <w:t>54 of the pdf (folio 26) verse 4.</w:t>
      </w:r>
    </w:p>
    <w:p w14:paraId="3CB75062" w14:textId="1670EC35" w:rsidR="00C832BC" w:rsidRPr="00687135" w:rsidRDefault="00F7335F" w:rsidP="00C832BC">
      <w:pPr>
        <w:pStyle w:val="MDPI31text"/>
      </w:pPr>
      <w:r w:rsidRPr="00687135">
        <w:rPr>
          <w:b/>
          <w:bCs/>
          <w:lang w:val="en-GB"/>
        </w:rPr>
        <w:t>In manuscript G 24</w:t>
      </w:r>
      <w:r>
        <w:rPr>
          <w:lang w:val="en-GB"/>
        </w:rPr>
        <w:t xml:space="preserve"> of The </w:t>
      </w:r>
      <w:proofErr w:type="spellStart"/>
      <w:r>
        <w:rPr>
          <w:lang w:val="en-GB"/>
        </w:rPr>
        <w:t>Jaina</w:t>
      </w:r>
      <w:proofErr w:type="spellEnd"/>
      <w:r>
        <w:rPr>
          <w:lang w:val="en-GB"/>
        </w:rPr>
        <w:t xml:space="preserve"> Siddhant Bhavan in </w:t>
      </w:r>
      <w:proofErr w:type="spellStart"/>
      <w:r>
        <w:rPr>
          <w:lang w:val="en-GB"/>
        </w:rPr>
        <w:t>Arrah</w:t>
      </w:r>
      <w:proofErr w:type="spellEnd"/>
      <w:r>
        <w:rPr>
          <w:lang w:val="en-GB"/>
        </w:rPr>
        <w:t xml:space="preserve"> the fragment starts on page 68 of the pdf (folio 33) from the third line counted from above (verse 80): </w:t>
      </w:r>
      <w:r w:rsidRPr="00687135">
        <w:rPr>
          <w:i/>
          <w:iCs/>
        </w:rPr>
        <w:t>revā nadī</w:t>
      </w:r>
      <w:r w:rsidRPr="00687135">
        <w:t>... It ends on page 89</w:t>
      </w:r>
      <w:r w:rsidR="00C832BC" w:rsidRPr="00687135">
        <w:t xml:space="preserve"> of the pdf</w:t>
      </w:r>
      <w:r w:rsidRPr="00687135">
        <w:t xml:space="preserve"> (folio 44) verse 10.</w:t>
      </w:r>
    </w:p>
    <w:p w14:paraId="2332F29C" w14:textId="501CF735" w:rsidR="00C832BC" w:rsidRPr="00687135" w:rsidRDefault="00C832BC" w:rsidP="00C832BC">
      <w:pPr>
        <w:pStyle w:val="MDPI31text"/>
      </w:pPr>
      <w:r w:rsidRPr="00687135">
        <w:t xml:space="preserve">The corresponding fragment in Amitagati's text is </w:t>
      </w:r>
      <w:r w:rsidRPr="00687135">
        <w:rPr>
          <w:i/>
          <w:iCs/>
        </w:rPr>
        <w:t xml:space="preserve">pariccheda </w:t>
      </w:r>
      <w:r w:rsidRPr="00687135">
        <w:t xml:space="preserve">4 verse 47, until </w:t>
      </w:r>
      <w:r w:rsidR="00495A1B" w:rsidRPr="00687135">
        <w:rPr>
          <w:i/>
          <w:iCs/>
        </w:rPr>
        <w:t xml:space="preserve">pariccheda </w:t>
      </w:r>
      <w:r w:rsidR="00495A1B" w:rsidRPr="00687135">
        <w:t>verse 76.</w:t>
      </w:r>
    </w:p>
    <w:sectPr w:rsidR="00C832BC" w:rsidRPr="006871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5917" w14:textId="77777777" w:rsidR="0094291E" w:rsidRDefault="0094291E" w:rsidP="007E6977">
      <w:pPr>
        <w:spacing w:after="0" w:line="240" w:lineRule="auto"/>
      </w:pPr>
      <w:r>
        <w:separator/>
      </w:r>
    </w:p>
  </w:endnote>
  <w:endnote w:type="continuationSeparator" w:id="0">
    <w:p w14:paraId="3031EBC4" w14:textId="77777777" w:rsidR="0094291E" w:rsidRDefault="0094291E" w:rsidP="007E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6052" w14:textId="77777777" w:rsidR="0094291E" w:rsidRDefault="0094291E" w:rsidP="007E6977">
      <w:pPr>
        <w:spacing w:after="0" w:line="240" w:lineRule="auto"/>
      </w:pPr>
      <w:r>
        <w:separator/>
      </w:r>
    </w:p>
  </w:footnote>
  <w:footnote w:type="continuationSeparator" w:id="0">
    <w:p w14:paraId="27B25750" w14:textId="77777777" w:rsidR="0094291E" w:rsidRDefault="0094291E" w:rsidP="007E6977">
      <w:pPr>
        <w:spacing w:after="0" w:line="240" w:lineRule="auto"/>
      </w:pPr>
      <w:r>
        <w:continuationSeparator/>
      </w:r>
    </w:p>
  </w:footnote>
  <w:footnote w:id="1">
    <w:p w14:paraId="58481968" w14:textId="77777777" w:rsidR="0094291E" w:rsidRPr="00294B06" w:rsidRDefault="0094291E" w:rsidP="007E6977">
      <w:pPr>
        <w:pStyle w:val="MDPI32textnoindent"/>
        <w:rPr>
          <w:sz w:val="18"/>
          <w:szCs w:val="18"/>
        </w:rPr>
      </w:pPr>
      <w:r w:rsidRPr="00294B06">
        <w:rPr>
          <w:rStyle w:val="FootnoteReference"/>
          <w:sz w:val="18"/>
          <w:szCs w:val="18"/>
        </w:rPr>
        <w:footnoteRef/>
      </w:r>
      <w:r w:rsidRPr="00294B06">
        <w:rPr>
          <w:sz w:val="18"/>
          <w:szCs w:val="18"/>
        </w:rPr>
        <w:t xml:space="preserve"> </w:t>
      </w:r>
      <w:r w:rsidRPr="00960D48">
        <w:rPr>
          <w:sz w:val="18"/>
          <w:szCs w:val="18"/>
          <w:lang w:val="en-GB"/>
        </w:rPr>
        <w:t xml:space="preserve">The Jain versions of the pan-Indian </w:t>
      </w:r>
      <w:proofErr w:type="spellStart"/>
      <w:r w:rsidRPr="00960D48">
        <w:rPr>
          <w:sz w:val="18"/>
          <w:szCs w:val="18"/>
          <w:lang w:val="en-GB"/>
        </w:rPr>
        <w:t>purā</w:t>
      </w:r>
      <w:r w:rsidRPr="00960D48">
        <w:rPr>
          <w:rFonts w:ascii="Cambria" w:hAnsi="Cambria" w:cs="Cambria"/>
          <w:sz w:val="18"/>
          <w:szCs w:val="18"/>
          <w:lang w:val="en-GB"/>
        </w:rPr>
        <w:t>ṇ</w:t>
      </w:r>
      <w:r w:rsidRPr="00960D48">
        <w:rPr>
          <w:sz w:val="18"/>
          <w:szCs w:val="18"/>
          <w:lang w:val="en-GB"/>
        </w:rPr>
        <w:t>ic</w:t>
      </w:r>
      <w:proofErr w:type="spellEnd"/>
      <w:r w:rsidRPr="00960D48">
        <w:rPr>
          <w:sz w:val="18"/>
          <w:szCs w:val="18"/>
        </w:rPr>
        <w:t xml:space="preserve"> and epic narratives</w:t>
      </w:r>
      <w:r w:rsidRPr="00960D48">
        <w:rPr>
          <w:sz w:val="18"/>
          <w:szCs w:val="18"/>
          <w:lang w:val="en-GB"/>
        </w:rPr>
        <w:t xml:space="preserve"> are clearly distinct from the better-known </w:t>
      </w:r>
      <w:r w:rsidRPr="00960D48">
        <w:rPr>
          <w:sz w:val="18"/>
          <w:szCs w:val="18"/>
        </w:rPr>
        <w:t xml:space="preserve">Hindu versions (where </w:t>
      </w:r>
      <w:proofErr w:type="spellStart"/>
      <w:r w:rsidRPr="00960D48">
        <w:rPr>
          <w:sz w:val="18"/>
          <w:szCs w:val="18"/>
        </w:rPr>
        <w:t>Vālmīki’s</w:t>
      </w:r>
      <w:proofErr w:type="spellEnd"/>
      <w:r w:rsidRPr="00960D48">
        <w:rPr>
          <w:sz w:val="18"/>
          <w:szCs w:val="18"/>
        </w:rPr>
        <w:t xml:space="preserve"> and </w:t>
      </w:r>
      <w:proofErr w:type="spellStart"/>
      <w:r w:rsidRPr="00960D48">
        <w:rPr>
          <w:sz w:val="18"/>
          <w:szCs w:val="18"/>
        </w:rPr>
        <w:t>Vyāsa’s</w:t>
      </w:r>
      <w:proofErr w:type="spellEnd"/>
      <w:r w:rsidRPr="00960D48">
        <w:rPr>
          <w:sz w:val="18"/>
          <w:szCs w:val="18"/>
        </w:rPr>
        <w:t xml:space="preserve"> renderings are considered as authoritative), and often explicitly criticize these Hindu versions (see e.g. De Clercq and Vekemans, forthcoming). The critiques in the </w:t>
      </w:r>
      <w:proofErr w:type="spellStart"/>
      <w:r w:rsidRPr="005B3CE6">
        <w:rPr>
          <w:i/>
          <w:iCs/>
          <w:sz w:val="18"/>
          <w:szCs w:val="18"/>
        </w:rPr>
        <w:t>Dharmaparīk</w:t>
      </w:r>
      <w:r w:rsidRPr="005B3CE6">
        <w:rPr>
          <w:rFonts w:ascii="Cambria" w:hAnsi="Cambria" w:cs="Cambria"/>
          <w:i/>
          <w:iCs/>
          <w:sz w:val="18"/>
          <w:szCs w:val="18"/>
        </w:rPr>
        <w:t>ṣ</w:t>
      </w:r>
      <w:r w:rsidRPr="005B3CE6">
        <w:rPr>
          <w:rFonts w:cs="Palatino Linotype"/>
          <w:i/>
          <w:iCs/>
          <w:sz w:val="18"/>
          <w:szCs w:val="18"/>
        </w:rPr>
        <w:t>ā</w:t>
      </w:r>
      <w:proofErr w:type="spellEnd"/>
      <w:r w:rsidRPr="005B3CE6">
        <w:rPr>
          <w:rFonts w:cs="Cambria"/>
          <w:sz w:val="18"/>
          <w:szCs w:val="18"/>
        </w:rPr>
        <w:t xml:space="preserve"> point out similar 'mistakes' of the Hindu versions as the Jain </w:t>
      </w:r>
      <w:proofErr w:type="spellStart"/>
      <w:r w:rsidRPr="005B3CE6">
        <w:rPr>
          <w:rFonts w:cs="Cambria"/>
          <w:i/>
          <w:iCs/>
          <w:sz w:val="18"/>
          <w:szCs w:val="18"/>
        </w:rPr>
        <w:t>purā</w:t>
      </w:r>
      <w:r w:rsidRPr="005B3CE6">
        <w:rPr>
          <w:rFonts w:ascii="Cambria" w:hAnsi="Cambria" w:cs="Cambria"/>
          <w:i/>
          <w:iCs/>
          <w:sz w:val="18"/>
          <w:szCs w:val="18"/>
        </w:rPr>
        <w:t>ṇ</w:t>
      </w:r>
      <w:r w:rsidRPr="005B3CE6">
        <w:rPr>
          <w:rFonts w:cs="Cambria"/>
          <w:i/>
          <w:iCs/>
          <w:sz w:val="18"/>
          <w:szCs w:val="18"/>
        </w:rPr>
        <w:t>as</w:t>
      </w:r>
      <w:proofErr w:type="spellEnd"/>
      <w:r w:rsidRPr="005B3CE6">
        <w:rPr>
          <w:rFonts w:cs="Cambria"/>
          <w:sz w:val="18"/>
          <w:szCs w:val="18"/>
        </w:rPr>
        <w:t xml:space="preserve"> and epics. </w:t>
      </w:r>
    </w:p>
  </w:footnote>
  <w:footnote w:id="2">
    <w:p w14:paraId="54FE3C20" w14:textId="57BD996D" w:rsidR="0094291E" w:rsidRPr="00662DDD" w:rsidRDefault="0094291E" w:rsidP="007E6977">
      <w:pPr>
        <w:pStyle w:val="MDPI32textnoindent"/>
        <w:rPr>
          <w:rFonts w:cs="Cambria"/>
          <w:sz w:val="18"/>
          <w:szCs w:val="18"/>
        </w:rPr>
      </w:pPr>
      <w:r w:rsidRPr="00294B06">
        <w:rPr>
          <w:rStyle w:val="FootnoteReference"/>
          <w:sz w:val="18"/>
          <w:szCs w:val="18"/>
        </w:rPr>
        <w:footnoteRef/>
      </w:r>
      <w:r w:rsidRPr="00294B06">
        <w:rPr>
          <w:sz w:val="18"/>
          <w:szCs w:val="18"/>
        </w:rPr>
        <w:t xml:space="preserve"> The </w:t>
      </w:r>
      <w:proofErr w:type="spellStart"/>
      <w:r w:rsidRPr="00960D48">
        <w:rPr>
          <w:i/>
          <w:iCs/>
          <w:sz w:val="18"/>
          <w:szCs w:val="18"/>
        </w:rPr>
        <w:t>Dhūrtākhyāna</w:t>
      </w:r>
      <w:proofErr w:type="spellEnd"/>
      <w:r w:rsidRPr="00960D48">
        <w:rPr>
          <w:i/>
          <w:iCs/>
          <w:sz w:val="18"/>
          <w:szCs w:val="18"/>
        </w:rPr>
        <w:t xml:space="preserve"> </w:t>
      </w:r>
      <w:r w:rsidRPr="00960D48">
        <w:rPr>
          <w:sz w:val="18"/>
          <w:szCs w:val="18"/>
        </w:rPr>
        <w:t xml:space="preserve">is a satirical frame story, best known in the Prakrit version by </w:t>
      </w:r>
      <w:proofErr w:type="spellStart"/>
      <w:r w:rsidRPr="00960D48">
        <w:rPr>
          <w:sz w:val="18"/>
          <w:szCs w:val="18"/>
        </w:rPr>
        <w:t>Haribhadra</w:t>
      </w:r>
      <w:proofErr w:type="spellEnd"/>
      <w:r w:rsidRPr="00960D48">
        <w:rPr>
          <w:sz w:val="18"/>
          <w:szCs w:val="18"/>
        </w:rPr>
        <w:t xml:space="preserve">, about five rogues who play a game of telling incredible stories, which they argue to be credible by referring to </w:t>
      </w:r>
      <w:proofErr w:type="spellStart"/>
      <w:r w:rsidRPr="00960D48">
        <w:rPr>
          <w:sz w:val="18"/>
          <w:szCs w:val="18"/>
        </w:rPr>
        <w:t>purā</w:t>
      </w:r>
      <w:r w:rsidRPr="00960D48">
        <w:rPr>
          <w:rFonts w:ascii="Cambria" w:hAnsi="Cambria" w:cs="Cambria"/>
          <w:sz w:val="18"/>
          <w:szCs w:val="18"/>
        </w:rPr>
        <w:t>ṇ</w:t>
      </w:r>
      <w:r w:rsidRPr="005B3CE6">
        <w:rPr>
          <w:rFonts w:cs="Cambria"/>
          <w:sz w:val="18"/>
          <w:szCs w:val="18"/>
        </w:rPr>
        <w:t>ic</w:t>
      </w:r>
      <w:proofErr w:type="spellEnd"/>
      <w:r w:rsidRPr="005B3CE6">
        <w:rPr>
          <w:rFonts w:cs="Cambria"/>
          <w:sz w:val="18"/>
          <w:szCs w:val="18"/>
        </w:rPr>
        <w:t xml:space="preserve"> stories.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77"/>
    <w:rsid w:val="00495A1B"/>
    <w:rsid w:val="00662DDD"/>
    <w:rsid w:val="00687135"/>
    <w:rsid w:val="007E6977"/>
    <w:rsid w:val="0094291E"/>
    <w:rsid w:val="00C832BC"/>
    <w:rsid w:val="00DF7ACB"/>
    <w:rsid w:val="00E528DC"/>
    <w:rsid w:val="00F00EE6"/>
    <w:rsid w:val="00F7335F"/>
  </w:rsids>
  <m:mathPr>
    <m:mathFont m:val="Cambria Math"/>
    <m:brkBin m:val="before"/>
    <m:brkBinSub m:val="--"/>
    <m:smallFrac m:val="0"/>
    <m:dispDef/>
    <m:lMargin m:val="0"/>
    <m:rMargin m:val="0"/>
    <m:defJc m:val="centerGroup"/>
    <m:wrapIndent m:val="1440"/>
    <m:intLim m:val="subSup"/>
    <m:naryLim m:val="undOvr"/>
  </m:mathPr>
  <w:themeFontLang w:val="nl-B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C920"/>
  <w15:chartTrackingRefBased/>
  <w15:docId w15:val="{81169545-A387-4807-8865-2907B5EF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nl-BE"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2textnoindent">
    <w:name w:val="MDPI_3.2_text_no_indent"/>
    <w:basedOn w:val="MDPI31text"/>
    <w:qFormat/>
    <w:rsid w:val="007E6977"/>
    <w:pPr>
      <w:ind w:firstLine="0"/>
    </w:pPr>
  </w:style>
  <w:style w:type="paragraph" w:customStyle="1" w:styleId="MDPI31text">
    <w:name w:val="MDPI_3.1_text"/>
    <w:qFormat/>
    <w:rsid w:val="007E6977"/>
    <w:pPr>
      <w:adjustRightInd w:val="0"/>
      <w:snapToGrid w:val="0"/>
      <w:spacing w:after="0"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character" w:styleId="FootnoteReference">
    <w:name w:val="footnote reference"/>
    <w:basedOn w:val="DefaultParagraphFont"/>
    <w:uiPriority w:val="99"/>
    <w:semiHidden/>
    <w:unhideWhenUsed/>
    <w:rsid w:val="007E6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De Jonckheere</dc:creator>
  <cp:keywords/>
  <dc:description/>
  <cp:lastModifiedBy>Heleen De Jonckheere</cp:lastModifiedBy>
  <cp:revision>2</cp:revision>
  <dcterms:created xsi:type="dcterms:W3CDTF">2019-06-06T12:33:00Z</dcterms:created>
  <dcterms:modified xsi:type="dcterms:W3CDTF">2019-06-06T12:33:00Z</dcterms:modified>
</cp:coreProperties>
</file>